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INFORME DE ACTIVIDADES PRESTADOR DE SERVICIOS</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jc w:val="center"/>
        <w:rPr>
          <w:rFonts w:ascii="Arial" w:cs="Arial" w:eastAsia="Arial" w:hAnsi="Arial"/>
          <w:color w:val="000000"/>
          <w:sz w:val="20"/>
          <w:szCs w:val="20"/>
        </w:rPr>
      </w:pPr>
      <w:r w:rsidDel="00000000" w:rsidR="00000000" w:rsidRPr="00000000">
        <w:rPr>
          <w:rtl w:val="0"/>
        </w:rPr>
      </w:r>
    </w:p>
    <w:tbl>
      <w:tblPr>
        <w:tblStyle w:val="Table1"/>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56"/>
        <w:gridCol w:w="6237"/>
        <w:tblGridChange w:id="0">
          <w:tblGrid>
            <w:gridCol w:w="3256"/>
            <w:gridCol w:w="6237"/>
          </w:tblGrid>
        </w:tblGridChange>
      </w:tblGrid>
      <w:tr>
        <w:trPr>
          <w:cantSplit w:val="0"/>
          <w:tblHeader w:val="0"/>
        </w:trPr>
        <w:tc>
          <w:tcPr/>
          <w:p w:rsidR="00000000" w:rsidDel="00000000" w:rsidP="00000000" w:rsidRDefault="00000000" w:rsidRPr="00000000" w14:paraId="00000003">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NOMBRE COMPLETO: </w:t>
            </w:r>
          </w:p>
        </w:tc>
        <w:tc>
          <w:tcPr/>
          <w:p w:rsidR="00000000" w:rsidDel="00000000" w:rsidP="00000000" w:rsidRDefault="00000000" w:rsidRPr="00000000" w14:paraId="00000004">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EMILCE ATD GUERRA</w:t>
            </w:r>
            <w:r w:rsidDel="00000000" w:rsidR="00000000" w:rsidRPr="00000000">
              <w:rPr>
                <w:rtl w:val="0"/>
              </w:rPr>
            </w:r>
          </w:p>
        </w:tc>
      </w:tr>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NÚMERO DE CÉDULA:</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49781931</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FECHA INFORME: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0"/>
                <w:szCs w:val="20"/>
                <w:highlight w:val="white"/>
              </w:rPr>
            </w:pPr>
            <w:bookmarkStart w:colFirst="0" w:colLast="0" w:name="_heading=h.30j0zll" w:id="0"/>
            <w:bookmarkEnd w:id="0"/>
            <w:r w:rsidDel="00000000" w:rsidR="00000000" w:rsidRPr="00000000">
              <w:rPr>
                <w:rFonts w:ascii="Arial" w:cs="Arial" w:eastAsia="Arial" w:hAnsi="Arial"/>
                <w:sz w:val="20"/>
                <w:szCs w:val="20"/>
                <w:highlight w:val="white"/>
                <w:rtl w:val="0"/>
              </w:rPr>
              <w:t xml:space="preserve"> 24  MARZO</w:t>
            </w:r>
            <w:r w:rsidDel="00000000" w:rsidR="00000000" w:rsidRPr="00000000">
              <w:rPr>
                <w:rFonts w:ascii="Arial" w:cs="Arial" w:eastAsia="Arial" w:hAnsi="Arial"/>
                <w:color w:val="000000"/>
                <w:sz w:val="20"/>
                <w:szCs w:val="20"/>
                <w:highlight w:val="white"/>
                <w:rtl w:val="0"/>
              </w:rPr>
              <w:t xml:space="preserve">/2026</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NÚMERO DE CONTRATO:</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4181.010.26.1.301-2026</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CUOTA:</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TRES</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SUPERVISOR DE CONTRATO:</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MARTHA CECILIA PELAEZ GARCIA </w:t>
            </w:r>
            <w:r w:rsidDel="00000000" w:rsidR="00000000" w:rsidRPr="00000000">
              <w:rPr>
                <w:rtl w:val="0"/>
              </w:rPr>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OBJETO DEL CONTRATO:</w:t>
            </w:r>
          </w:p>
        </w:tc>
        <w:tc>
          <w:tcPr/>
          <w:p w:rsidR="00000000" w:rsidDel="00000000" w:rsidP="00000000" w:rsidRDefault="00000000" w:rsidRPr="00000000" w14:paraId="0000001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Prestar los servicios de apoyo a la gestión, con el fin de brindar soporte a las actividades adelantadas en la Unidad Administrativa Especial de Gestión de Bienes y Servicios, teniendo como fuente de financiación recursos propios.</w:t>
            </w:r>
          </w:p>
        </w:tc>
      </w:tr>
    </w:tbl>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ACTIVIDADES REALIZADAS </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 acuerdo con las obligaciones específicas contenidas en el complemento al contrato electrónico, ejecuté a cabalidad las siguientes actividades dentro del plazo contractual establecido así:</w:t>
      </w:r>
    </w:p>
    <w:p w:rsidR="00000000" w:rsidDel="00000000" w:rsidP="00000000" w:rsidRDefault="00000000" w:rsidRPr="00000000" w14:paraId="00000015">
      <w:pPr>
        <w:spacing w:after="0" w:line="240"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6">
      <w:pPr>
        <w:widowControl w:val="0"/>
        <w:spacing w:after="0" w:line="240" w:lineRule="auto"/>
        <w:jc w:val="both"/>
        <w:rPr>
          <w:rFonts w:ascii="Arial" w:cs="Arial" w:eastAsia="Arial" w:hAnsi="Arial"/>
          <w:sz w:val="24"/>
          <w:szCs w:val="24"/>
        </w:rPr>
      </w:pPr>
      <w:bookmarkStart w:colFirst="0" w:colLast="0" w:name="_heading=h.k6vuxoam2xyc" w:id="1"/>
      <w:bookmarkEnd w:id="1"/>
      <w:r w:rsidDel="00000000" w:rsidR="00000000" w:rsidRPr="00000000">
        <w:rPr>
          <w:rFonts w:ascii="Arial" w:cs="Arial" w:eastAsia="Arial" w:hAnsi="Arial"/>
          <w:sz w:val="24"/>
          <w:szCs w:val="24"/>
          <w:rtl w:val="0"/>
        </w:rPr>
        <w:t xml:space="preserve">1.Brindar apoyo en la clasificación de los diversos documentos referentes al inventario de los bienes muebles.</w:t>
      </w:r>
    </w:p>
    <w:p w:rsidR="00000000" w:rsidDel="00000000" w:rsidP="00000000" w:rsidRDefault="00000000" w:rsidRPr="00000000" w14:paraId="00000017">
      <w:pPr>
        <w:spacing w:after="240" w:before="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Apoye en la realización de listados generales de comisiones (movimiento de bienes, baja de bienes, certificado de inventarios) ordenándolos alfabéticamente (A – Z) para facilitar su alimentación en el archivo de recurso físico.</w:t>
      </w:r>
    </w:p>
    <w:p w:rsidR="00000000" w:rsidDel="00000000" w:rsidP="00000000" w:rsidRDefault="00000000" w:rsidRPr="00000000" w14:paraId="00000018">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Apoye en la depuración de la documentación necesaria para actualizar los expedientes de activos de los funcionarios correspondientes al año 2020 - 2021 la información se organizó en orden alfabético con el fin de facilitar su inclusión y búsqueda en el archivo del personal.</w:t>
      </w:r>
    </w:p>
    <w:p w:rsidR="00000000" w:rsidDel="00000000" w:rsidP="00000000" w:rsidRDefault="00000000" w:rsidRPr="00000000" w14:paraId="00000019">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Pr>
        <w:drawing>
          <wp:inline distB="114300" distT="114300" distL="114300" distR="114300">
            <wp:extent cx="1246822" cy="1666208"/>
            <wp:effectExtent b="0" l="0" r="0" t="0"/>
            <wp:docPr id="63000732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246822" cy="1666208"/>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spacing w:after="240" w:before="24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spacing w:after="240" w:before="240" w:line="240" w:lineRule="auto"/>
        <w:rPr>
          <w:rFonts w:ascii="Arial" w:cs="Arial" w:eastAsia="Arial" w:hAnsi="Arial"/>
          <w:sz w:val="24"/>
          <w:szCs w:val="24"/>
        </w:rPr>
      </w:pPr>
      <w:bookmarkStart w:colFirst="0" w:colLast="0" w:name="_heading=h.kfcmzka3vtv8" w:id="2"/>
      <w:bookmarkEnd w:id="2"/>
      <w:r w:rsidDel="00000000" w:rsidR="00000000" w:rsidRPr="00000000">
        <w:rPr>
          <w:rFonts w:ascii="Arial" w:cs="Arial" w:eastAsia="Arial" w:hAnsi="Arial"/>
          <w:sz w:val="24"/>
          <w:szCs w:val="24"/>
          <w:rtl w:val="0"/>
        </w:rPr>
        <w:t xml:space="preserve">2.Alimentar expedientes producto de la gestión documental a cargo de la Unidad Administrativa Especial de Gestión de Bienes y Servicios. </w:t>
      </w:r>
    </w:p>
    <w:p w:rsidR="00000000" w:rsidDel="00000000" w:rsidP="00000000" w:rsidRDefault="00000000" w:rsidRPr="00000000" w14:paraId="0000001C">
      <w:pPr>
        <w:spacing w:after="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-Apoye alimentando expedientes con comisiones.</w:t>
      </w:r>
    </w:p>
    <w:p w:rsidR="00000000" w:rsidDel="00000000" w:rsidP="00000000" w:rsidRDefault="00000000" w:rsidRPr="00000000" w14:paraId="0000001D">
      <w:pPr>
        <w:spacing w:after="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-Apoye en la verificación y organización de más 600 folios (movimientos de bienes muebles, reportes de elementos devolutivos, solicitud de bajas, reportes de vehículos</w:t>
      </w:r>
    </w:p>
    <w:p w:rsidR="00000000" w:rsidDel="00000000" w:rsidP="00000000" w:rsidRDefault="00000000" w:rsidRPr="00000000" w14:paraId="0000001E">
      <w:pPr>
        <w:spacing w:after="0" w:line="276" w:lineRule="auto"/>
        <w:rPr>
          <w:rFonts w:ascii="Arial" w:cs="Arial" w:eastAsia="Arial" w:hAnsi="Arial"/>
          <w:sz w:val="24"/>
          <w:szCs w:val="24"/>
        </w:rPr>
      </w:pPr>
      <w:r w:rsidDel="00000000" w:rsidR="00000000" w:rsidRPr="00000000">
        <w:rPr>
          <w:rFonts w:ascii="Arial" w:cs="Arial" w:eastAsia="Arial" w:hAnsi="Arial"/>
          <w:sz w:val="24"/>
          <w:szCs w:val="24"/>
        </w:rPr>
        <w:drawing>
          <wp:inline distB="114300" distT="114300" distL="114300" distR="114300">
            <wp:extent cx="1449141" cy="1924459"/>
            <wp:effectExtent b="0" l="0" r="0" t="0"/>
            <wp:docPr id="630007319"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1449141" cy="1924459"/>
                    </a:xfrm>
                    <a:prstGeom prst="rect"/>
                    <a:ln/>
                  </pic:spPr>
                </pic:pic>
              </a:graphicData>
            </a:graphic>
          </wp:inline>
        </w:drawing>
      </w:r>
      <w:r w:rsidDel="00000000" w:rsidR="00000000" w:rsidRPr="00000000">
        <w:rPr>
          <w:rtl w:val="0"/>
        </w:rPr>
      </w:r>
    </w:p>
    <w:p w:rsidR="00000000" w:rsidDel="00000000" w:rsidP="00000000" w:rsidRDefault="00000000" w:rsidRPr="00000000" w14:paraId="0000001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widowControl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Realizar las actividades de apoyo al proceso. </w:t>
      </w:r>
    </w:p>
    <w:p w:rsidR="00000000" w:rsidDel="00000000" w:rsidP="00000000" w:rsidRDefault="00000000" w:rsidRPr="00000000" w14:paraId="00000022">
      <w:pPr>
        <w:widowControl w:val="0"/>
        <w:spacing w:after="0" w:line="240" w:lineRule="auto"/>
        <w:jc w:val="both"/>
        <w:rPr>
          <w:rFonts w:ascii="Arial" w:cs="Arial" w:eastAsia="Arial" w:hAnsi="Arial"/>
          <w:sz w:val="24"/>
          <w:szCs w:val="24"/>
        </w:rPr>
      </w:pPr>
      <w:bookmarkStart w:colFirst="0" w:colLast="0" w:name="_heading=h.zbfexkdyzqa8" w:id="3"/>
      <w:bookmarkEnd w:id="3"/>
      <w:r w:rsidDel="00000000" w:rsidR="00000000" w:rsidRPr="00000000">
        <w:rPr>
          <w:rtl w:val="0"/>
        </w:rPr>
      </w:r>
    </w:p>
    <w:p w:rsidR="00000000" w:rsidDel="00000000" w:rsidP="00000000" w:rsidRDefault="00000000" w:rsidRPr="00000000" w14:paraId="00000023">
      <w:pPr>
        <w:spacing w:after="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Endose las copias con la información del funcionario que entrega.</w:t>
      </w:r>
    </w:p>
    <w:p w:rsidR="00000000" w:rsidDel="00000000" w:rsidP="00000000" w:rsidRDefault="00000000" w:rsidRPr="00000000" w14:paraId="00000024">
      <w:pPr>
        <w:spacing w:after="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Ordene alfabéticamente las comisiones del año 2020  - 2021 </w:t>
      </w:r>
    </w:p>
    <w:p w:rsidR="00000000" w:rsidDel="00000000" w:rsidP="00000000" w:rsidRDefault="00000000" w:rsidRPr="00000000" w14:paraId="00000025">
      <w:pPr>
        <w:spacing w:after="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Realice un listado, el cual facilitará la búsqueda para su alimentación en su expediente correspondiente.</w:t>
      </w:r>
    </w:p>
    <w:p w:rsidR="00000000" w:rsidDel="00000000" w:rsidP="00000000" w:rsidRDefault="00000000" w:rsidRPr="00000000" w14:paraId="00000026">
      <w:pPr>
        <w:spacing w:after="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Apoye en la clasificación de más de 600 folios, le sacó copia a la comisión original, la cual se alimentará en el expediente del funcionario que recibe.</w:t>
      </w:r>
    </w:p>
    <w:p w:rsidR="00000000" w:rsidDel="00000000" w:rsidP="00000000" w:rsidRDefault="00000000" w:rsidRPr="00000000" w14:paraId="00000027">
      <w:pPr>
        <w:widowControl w:val="0"/>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widowControl w:val="0"/>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widowControl w:val="0"/>
        <w:spacing w:after="0" w:line="240" w:lineRule="auto"/>
        <w:jc w:val="both"/>
        <w:rPr>
          <w:rFonts w:ascii="Arial" w:cs="Arial" w:eastAsia="Arial" w:hAnsi="Arial"/>
          <w:sz w:val="24"/>
          <w:szCs w:val="24"/>
        </w:rPr>
      </w:pPr>
      <w:bookmarkStart w:colFirst="0" w:colLast="0" w:name="_heading=h.w9hw4zkgl9ck" w:id="4"/>
      <w:bookmarkEnd w:id="4"/>
      <w:r w:rsidDel="00000000" w:rsidR="00000000" w:rsidRPr="00000000">
        <w:rPr>
          <w:rFonts w:ascii="Arial" w:cs="Arial" w:eastAsia="Arial" w:hAnsi="Arial"/>
          <w:sz w:val="24"/>
          <w:szCs w:val="24"/>
          <w:rtl w:val="0"/>
        </w:rPr>
        <w:t xml:space="preserve">4. Atender las demás solicitudes que realice el (la) Director (a) Técnico (a) de la Unidad Administrativa Especial de Gestión de Bienes y Servicios, relacionadas con el</w:t>
      </w:r>
    </w:p>
    <w:p w:rsidR="00000000" w:rsidDel="00000000" w:rsidP="00000000" w:rsidRDefault="00000000" w:rsidRPr="00000000" w14:paraId="0000002A">
      <w:pPr>
        <w:widowControl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w:t>
      </w:r>
    </w:p>
    <w:p w:rsidR="00000000" w:rsidDel="00000000" w:rsidP="00000000" w:rsidRDefault="00000000" w:rsidRPr="00000000" w14:paraId="0000002B">
      <w:pPr>
        <w:widowControl w:val="0"/>
        <w:spacing w:after="0" w:line="240" w:lineRule="auto"/>
        <w:jc w:val="both"/>
        <w:rPr>
          <w:rFonts w:ascii="Arial" w:cs="Arial" w:eastAsia="Arial" w:hAnsi="Arial"/>
          <w:sz w:val="24"/>
          <w:szCs w:val="24"/>
        </w:rPr>
      </w:pPr>
      <w:bookmarkStart w:colFirst="0" w:colLast="0" w:name="_heading=h.9sst2h607tqc" w:id="5"/>
      <w:bookmarkEnd w:id="5"/>
      <w:r w:rsidDel="00000000" w:rsidR="00000000" w:rsidRPr="00000000">
        <w:rPr>
          <w:rtl w:val="0"/>
        </w:rPr>
      </w:r>
    </w:p>
    <w:p w:rsidR="00000000" w:rsidDel="00000000" w:rsidP="00000000" w:rsidRDefault="00000000" w:rsidRPr="00000000" w14:paraId="0000002C">
      <w:pPr>
        <w:spacing w:after="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Asistí a la  capacitación de la semana  de la mujer con la doctora Pilar Andrea el día 9 de marzo de 2026</w:t>
      </w:r>
    </w:p>
    <w:p w:rsidR="00000000" w:rsidDel="00000000" w:rsidP="00000000" w:rsidRDefault="00000000" w:rsidRPr="00000000" w14:paraId="0000002D">
      <w:pPr>
        <w:spacing w:after="0"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spacing w:after="0" w:line="276" w:lineRule="auto"/>
        <w:rPr>
          <w:rFonts w:ascii="Arial" w:cs="Arial" w:eastAsia="Arial" w:hAnsi="Arial"/>
          <w:sz w:val="24"/>
          <w:szCs w:val="24"/>
        </w:rPr>
      </w:pPr>
      <w:r w:rsidDel="00000000" w:rsidR="00000000" w:rsidRPr="00000000">
        <w:rPr>
          <w:rFonts w:ascii="Arial" w:cs="Arial" w:eastAsia="Arial" w:hAnsi="Arial"/>
          <w:sz w:val="24"/>
          <w:szCs w:val="24"/>
        </w:rPr>
        <w:drawing>
          <wp:inline distB="114300" distT="114300" distL="114300" distR="114300">
            <wp:extent cx="1218883" cy="2715756"/>
            <wp:effectExtent b="0" l="0" r="0" t="0"/>
            <wp:docPr id="630007320"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218883" cy="2715756"/>
                    </a:xfrm>
                    <a:prstGeom prst="rect"/>
                    <a:ln/>
                  </pic:spPr>
                </pic:pic>
              </a:graphicData>
            </a:graphic>
          </wp:inline>
        </w:drawing>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F">
      <w:pPr>
        <w:spacing w:after="0"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spacing w:after="0" w:line="276" w:lineRule="auto"/>
        <w:rPr>
          <w:rFonts w:ascii="Arial" w:cs="Arial" w:eastAsia="Arial" w:hAnsi="Arial"/>
          <w:sz w:val="24"/>
          <w:szCs w:val="24"/>
        </w:rPr>
      </w:pPr>
      <w:r w:rsidDel="00000000" w:rsidR="00000000" w:rsidRPr="00000000">
        <w:rPr>
          <w:rtl w:val="0"/>
        </w:rPr>
      </w:r>
    </w:p>
    <w:tbl>
      <w:tblPr>
        <w:tblStyle w:val="Table2"/>
        <w:tblW w:w="957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95"/>
        <w:gridCol w:w="5175"/>
        <w:tblGridChange w:id="0">
          <w:tblGrid>
            <w:gridCol w:w="4395"/>
            <w:gridCol w:w="5175"/>
          </w:tblGrid>
        </w:tblGridChange>
      </w:tblGrid>
      <w:tr>
        <w:trPr>
          <w:cantSplit w:val="0"/>
          <w:trHeight w:val="1023" w:hRule="atLeast"/>
          <w:tblHeader w:val="0"/>
        </w:trPr>
        <w:tc>
          <w:tcPr>
            <w:gridSpan w:val="2"/>
          </w:tcPr>
          <w:p w:rsidR="00000000" w:rsidDel="00000000" w:rsidP="00000000" w:rsidRDefault="00000000" w:rsidRPr="00000000" w14:paraId="00000031">
            <w:pP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CERTIFICADO DE CUMPLIMIENTO PAGO DE SEGURIDAD SOCIAL: según lo establecido en el contrato de prestación de servicios “</w:t>
            </w:r>
            <w:r w:rsidDel="00000000" w:rsidR="00000000" w:rsidRPr="00000000">
              <w:rPr>
                <w:rFonts w:ascii="Arial" w:cs="Arial" w:eastAsia="Arial" w:hAnsi="Arial"/>
                <w:sz w:val="20"/>
                <w:szCs w:val="20"/>
                <w:rtl w:val="0"/>
              </w:rPr>
              <w:t xml:space="preserve">CLÁUSULA</w:t>
            </w:r>
            <w:r w:rsidDel="00000000" w:rsidR="00000000" w:rsidRPr="00000000">
              <w:rPr>
                <w:rFonts w:ascii="Arial" w:cs="Arial" w:eastAsia="Arial" w:hAnsi="Arial"/>
                <w:color w:val="000000"/>
                <w:sz w:val="20"/>
                <w:szCs w:val="20"/>
                <w:rtl w:val="0"/>
              </w:rPr>
              <w:t xml:space="preserve"> SEGUNDA, PARÁGRAFO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w:t>
            </w:r>
            <w:r w:rsidDel="00000000" w:rsidR="00000000" w:rsidRPr="00000000">
              <w:rPr>
                <w:rFonts w:ascii="Arial" w:cs="Arial" w:eastAsia="Arial" w:hAnsi="Arial"/>
                <w:sz w:val="20"/>
                <w:szCs w:val="20"/>
                <w:rtl w:val="0"/>
              </w:rPr>
              <w:t xml:space="preserve">la normativa</w:t>
            </w:r>
            <w:r w:rsidDel="00000000" w:rsidR="00000000" w:rsidRPr="00000000">
              <w:rPr>
                <w:rFonts w:ascii="Arial" w:cs="Arial" w:eastAsia="Arial" w:hAnsi="Arial"/>
                <w:color w:val="000000"/>
                <w:sz w:val="20"/>
                <w:szCs w:val="20"/>
                <w:rtl w:val="0"/>
              </w:rPr>
              <w:t xml:space="preserve"> vigente aplicable.” y “</w:t>
            </w:r>
            <w:r w:rsidDel="00000000" w:rsidR="00000000" w:rsidRPr="00000000">
              <w:rPr>
                <w:rFonts w:ascii="Arial" w:cs="Arial" w:eastAsia="Arial" w:hAnsi="Arial"/>
                <w:sz w:val="20"/>
                <w:szCs w:val="20"/>
                <w:rtl w:val="0"/>
              </w:rPr>
              <w:t xml:space="preserve">CLÁUSULA</w:t>
            </w:r>
            <w:r w:rsidDel="00000000" w:rsidR="00000000" w:rsidRPr="00000000">
              <w:rPr>
                <w:rFonts w:ascii="Arial" w:cs="Arial" w:eastAsia="Arial" w:hAnsi="Arial"/>
                <w:color w:val="000000"/>
                <w:sz w:val="20"/>
                <w:szCs w:val="20"/>
                <w:rtl w:val="0"/>
              </w:rPr>
              <w:t xml:space="preserve"> SEXTA: </w:t>
            </w:r>
            <w:r w:rsidDel="00000000" w:rsidR="00000000" w:rsidRPr="00000000">
              <w:rPr>
                <w:rFonts w:ascii="Arial" w:cs="Arial" w:eastAsia="Arial" w:hAnsi="Arial"/>
                <w:sz w:val="20"/>
                <w:szCs w:val="20"/>
                <w:rtl w:val="0"/>
              </w:rPr>
              <w:t xml:space="preserve">AFILIACIÓN AL SISTEMA DE SEGURIDAD SOCIAL Y ARL. El CONTRATISTA se obliga a mantener al día el pago correspondiente a los sistemas de seguridad social en salud, pensiones y ARL de acuerdo con las bases de cotización establecidas en las normas vigentes. </w:t>
            </w:r>
            <w:r w:rsidDel="00000000" w:rsidR="00000000" w:rsidRPr="00000000">
              <w:rPr>
                <w:rFonts w:ascii="Arial" w:cs="Arial" w:eastAsia="Arial" w:hAnsi="Arial"/>
                <w:color w:val="000000"/>
                <w:sz w:val="20"/>
                <w:szCs w:val="20"/>
                <w:rtl w:val="0"/>
              </w:rPr>
              <w:t xml:space="preserve"> Me permito informar que he realizado el pago de la Seguridad social respectiva de la siguiente manera: </w:t>
            </w:r>
          </w:p>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Mes vencido: _x_                         Mes anticipado: ___                            Extemporáneo: ___</w:t>
            </w:r>
          </w:p>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36">
            <w:pPr>
              <w:rPr>
                <w:rFonts w:ascii="Arial" w:cs="Arial" w:eastAsia="Arial" w:hAnsi="Arial"/>
                <w:color w:val="000000"/>
                <w:sz w:val="20"/>
                <w:szCs w:val="20"/>
              </w:rPr>
            </w:pPr>
            <w:bookmarkStart w:colFirst="0" w:colLast="0" w:name="_heading=h.gjdgxs" w:id="6"/>
            <w:bookmarkEnd w:id="6"/>
            <w:r w:rsidDel="00000000" w:rsidR="00000000" w:rsidRPr="00000000">
              <w:rPr>
                <w:rFonts w:ascii="Arial" w:cs="Arial" w:eastAsia="Arial" w:hAnsi="Arial"/>
                <w:color w:val="000000"/>
                <w:sz w:val="20"/>
                <w:szCs w:val="20"/>
                <w:rtl w:val="0"/>
              </w:rPr>
              <w:t xml:space="preserve">No DE PLANILLA DE PAGO: </w:t>
            </w:r>
            <w:r w:rsidDel="00000000" w:rsidR="00000000" w:rsidRPr="00000000">
              <w:rPr>
                <w:rFonts w:ascii="Arial" w:cs="Arial" w:eastAsia="Arial" w:hAnsi="Arial"/>
                <w:sz w:val="20"/>
                <w:szCs w:val="20"/>
                <w:rtl w:val="0"/>
              </w:rPr>
              <w:t xml:space="preserve">9500121208</w:t>
            </w: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IBC DEL PAGO REALIZADO: </w:t>
            </w:r>
            <w:r w:rsidDel="00000000" w:rsidR="00000000" w:rsidRPr="00000000">
              <w:rPr>
                <w:rFonts w:ascii="Arial" w:cs="Arial" w:eastAsia="Arial" w:hAnsi="Arial"/>
                <w:sz w:val="20"/>
                <w:szCs w:val="20"/>
                <w:rtl w:val="0"/>
              </w:rPr>
              <w:t xml:space="preserve"> $ 1.750.905</w:t>
            </w: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FECHA DE PAGO:</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4"/>
                <w:szCs w:val="24"/>
                <w:rtl w:val="0"/>
              </w:rPr>
              <w:t xml:space="preserve"> 03/MAR/2026</w:t>
            </w: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bookmarkStart w:colFirst="0" w:colLast="0" w:name="_heading=h.1fob9te" w:id="7"/>
            <w:bookmarkEnd w:id="7"/>
            <w:r w:rsidDel="00000000" w:rsidR="00000000" w:rsidRPr="00000000">
              <w:rPr>
                <w:rFonts w:ascii="Arial" w:cs="Arial" w:eastAsia="Arial" w:hAnsi="Arial"/>
                <w:color w:val="000000"/>
                <w:sz w:val="20"/>
                <w:szCs w:val="20"/>
                <w:rtl w:val="0"/>
              </w:rPr>
              <w:t xml:space="preserve">MES DE PAGO SS: </w:t>
            </w:r>
            <w:r w:rsidDel="00000000" w:rsidR="00000000" w:rsidRPr="00000000">
              <w:rPr>
                <w:rFonts w:ascii="Arial" w:cs="Arial" w:eastAsia="Arial" w:hAnsi="Arial"/>
                <w:sz w:val="20"/>
                <w:szCs w:val="20"/>
                <w:rtl w:val="0"/>
              </w:rPr>
              <w:t xml:space="preserve">FEBRERO de 2026</w:t>
            </w:r>
            <w:r w:rsidDel="00000000" w:rsidR="00000000" w:rsidRPr="00000000">
              <w:rPr>
                <w:rtl w:val="0"/>
              </w:rPr>
            </w:r>
          </w:p>
        </w:tc>
      </w:tr>
      <w:tr>
        <w:trPr>
          <w:cantSplit w:val="0"/>
          <w:tblHeader w:val="0"/>
        </w:trPr>
        <w:tc>
          <w:tcPr>
            <w:gridSpan w:val="2"/>
          </w:tcPr>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bookmarkStart w:colFirst="0" w:colLast="0" w:name="_heading=h.3dy6vkm" w:id="8"/>
            <w:bookmarkEnd w:id="8"/>
            <w:r w:rsidDel="00000000" w:rsidR="00000000" w:rsidRPr="00000000">
              <w:rPr>
                <w:rFonts w:ascii="Arial" w:cs="Arial" w:eastAsia="Arial" w:hAnsi="Arial"/>
                <w:sz w:val="20"/>
                <w:szCs w:val="20"/>
                <w:rtl w:val="0"/>
              </w:rPr>
              <w:t xml:space="preserve">OBSERVACIÓN</w:t>
            </w:r>
            <w:r w:rsidDel="00000000" w:rsidR="00000000" w:rsidRPr="00000000">
              <w:rPr>
                <w:rFonts w:ascii="Arial" w:cs="Arial" w:eastAsia="Arial" w:hAnsi="Arial"/>
                <w:color w:val="000000"/>
                <w:sz w:val="20"/>
                <w:szCs w:val="20"/>
                <w:rtl w:val="0"/>
              </w:rPr>
              <w:t xml:space="preserve">: N/</w:t>
            </w:r>
            <w:r w:rsidDel="00000000" w:rsidR="00000000" w:rsidRPr="00000000">
              <w:rPr>
                <w:rFonts w:ascii="Arial" w:cs="Arial" w:eastAsia="Arial" w:hAnsi="Arial"/>
                <w:sz w:val="20"/>
                <w:szCs w:val="20"/>
                <w:rtl w:val="0"/>
              </w:rPr>
              <w:t xml:space="preserve">A</w:t>
            </w:r>
            <w:r w:rsidDel="00000000" w:rsidR="00000000" w:rsidRPr="00000000">
              <w:rPr>
                <w:rtl w:val="0"/>
              </w:rPr>
            </w:r>
          </w:p>
        </w:tc>
      </w:tr>
    </w:tbl>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Atentamente,</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Pr>
        <w:drawing>
          <wp:inline distB="114300" distT="114300" distL="114300" distR="114300">
            <wp:extent cx="1637983" cy="619125"/>
            <wp:effectExtent b="0" l="0" r="0" t="0"/>
            <wp:docPr id="630007322"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1637983" cy="619125"/>
                    </a:xfrm>
                    <a:prstGeom prst="rect"/>
                    <a:ln/>
                  </pic:spPr>
                </pic:pic>
              </a:graphicData>
            </a:graphic>
          </wp:inline>
        </w:drawing>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_____________________________</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EMILCE ATD GUERRA</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C.C. 4</w:t>
      </w:r>
      <w:r w:rsidDel="00000000" w:rsidR="00000000" w:rsidRPr="00000000">
        <w:rPr>
          <w:rFonts w:ascii="Arial" w:cs="Arial" w:eastAsia="Arial" w:hAnsi="Arial"/>
          <w:sz w:val="20"/>
          <w:szCs w:val="20"/>
          <w:rtl w:val="0"/>
        </w:rPr>
        <w:t xml:space="preserve">9781931</w:t>
      </w:r>
      <w:r w:rsidDel="00000000" w:rsidR="00000000" w:rsidRPr="00000000">
        <w:rPr>
          <w:rtl w:val="0"/>
        </w:rPr>
      </w:r>
    </w:p>
    <w:sectPr>
      <w:pgSz w:h="15840" w:w="12240" w:orient="portrait"/>
      <w:pgMar w:bottom="851" w:top="851" w:left="1418" w:right="1418" w:header="567" w:footer="28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 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table" w:styleId="TableNormal5" w:customStyle="1">
    <w:name w:val="Table Normal"/>
    <w:tblPr>
      <w:tblCellMar>
        <w:top w:w="0.0" w:type="dxa"/>
        <w:left w:w="0.0" w:type="dxa"/>
        <w:bottom w:w="0.0" w:type="dxa"/>
        <w:right w:w="0.0" w:type="dxa"/>
      </w:tblCellMar>
    </w:tblPr>
  </w:style>
  <w:style w:type="table" w:styleId="TableNormal6" w:customStyle="1">
    <w:name w:val="Table Normal"/>
    <w:tblPr>
      <w:tblCellMar>
        <w:top w:w="0.0" w:type="dxa"/>
        <w:left w:w="0.0" w:type="dxa"/>
        <w:bottom w:w="0.0" w:type="dxa"/>
        <w:right w:w="0.0" w:type="dxa"/>
      </w:tblCellMar>
    </w:tblPr>
  </w:style>
  <w:style w:type="table" w:styleId="TableNormal7" w:customStyle="1">
    <w:name w:val="Table Normal"/>
    <w:tblPr>
      <w:tblCellMar>
        <w:top w:w="0.0" w:type="dxa"/>
        <w:left w:w="0.0" w:type="dxa"/>
        <w:bottom w:w="0.0" w:type="dxa"/>
        <w:right w:w="0.0" w:type="dxa"/>
      </w:tblCellMar>
    </w:tblPr>
  </w:style>
  <w:style w:type="table" w:styleId="TableNormal8" w:customStyle="1">
    <w:name w:val="Table Normal"/>
    <w:tblPr>
      <w:tblCellMar>
        <w:top w:w="0.0" w:type="dxa"/>
        <w:left w:w="0.0" w:type="dxa"/>
        <w:bottom w:w="0.0" w:type="dxa"/>
        <w:right w:w="0.0" w:type="dxa"/>
      </w:tblCellMar>
    </w:tblPr>
  </w:style>
  <w:style w:type="table" w:styleId="TableNormal9" w:customStyle="1">
    <w:name w:val="Table Normal"/>
    <w:tblPr>
      <w:tblCellMar>
        <w:top w:w="0.0" w:type="dxa"/>
        <w:left w:w="0.0" w:type="dxa"/>
        <w:bottom w:w="0.0" w:type="dxa"/>
        <w:right w:w="0.0" w:type="dxa"/>
      </w:tblCellMar>
    </w:tblPr>
  </w:style>
  <w:style w:type="table" w:styleId="TableNormala" w:customStyle="1">
    <w:name w:val="Table Normal"/>
    <w:tblPr>
      <w:tblCellMar>
        <w:top w:w="0.0" w:type="dxa"/>
        <w:left w:w="0.0" w:type="dxa"/>
        <w:bottom w:w="0.0" w:type="dxa"/>
        <w:right w:w="0.0" w:type="dxa"/>
      </w:tblCellMar>
    </w:tblPr>
  </w:style>
  <w:style w:type="paragraph" w:styleId="Sinespaciado">
    <w:name w:val="No Spacing"/>
    <w:uiPriority w:val="1"/>
    <w:qFormat w:val="1"/>
    <w:rsid w:val="00594C4A"/>
    <w:pPr>
      <w:spacing w:after="0" w:line="240" w:lineRule="auto"/>
    </w:pPr>
  </w:style>
  <w:style w:type="paragraph" w:styleId="Default" w:customStyle="1">
    <w:name w:val="Default"/>
    <w:rsid w:val="00594C4A"/>
    <w:pPr>
      <w:autoSpaceDE w:val="0"/>
      <w:autoSpaceDN w:val="0"/>
      <w:adjustRightInd w:val="0"/>
      <w:spacing w:after="0" w:line="240" w:lineRule="auto"/>
    </w:pPr>
    <w:rPr>
      <w:color w:val="000000"/>
      <w:sz w:val="24"/>
      <w:szCs w:val="24"/>
    </w:rPr>
  </w:style>
  <w:style w:type="table" w:styleId="Tablaconcuadrcula">
    <w:name w:val="Table Grid"/>
    <w:basedOn w:val="Tablanormal"/>
    <w:uiPriority w:val="39"/>
    <w:rsid w:val="00594C4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Refdecomentario">
    <w:name w:val="annotation reference"/>
    <w:basedOn w:val="Fuentedeprrafopredeter"/>
    <w:uiPriority w:val="99"/>
    <w:semiHidden w:val="1"/>
    <w:unhideWhenUsed w:val="1"/>
    <w:rsid w:val="009A5109"/>
    <w:rPr>
      <w:sz w:val="16"/>
      <w:szCs w:val="16"/>
    </w:rPr>
  </w:style>
  <w:style w:type="paragraph" w:styleId="Textocomentario">
    <w:name w:val="annotation text"/>
    <w:basedOn w:val="Normal"/>
    <w:link w:val="TextocomentarioCar"/>
    <w:uiPriority w:val="99"/>
    <w:semiHidden w:val="1"/>
    <w:unhideWhenUsed w:val="1"/>
    <w:rsid w:val="009A5109"/>
    <w:pPr>
      <w:spacing w:line="240" w:lineRule="auto"/>
    </w:pPr>
    <w:rPr>
      <w:sz w:val="20"/>
      <w:szCs w:val="20"/>
    </w:rPr>
  </w:style>
  <w:style w:type="character" w:styleId="TextocomentarioCar" w:customStyle="1">
    <w:name w:val="Texto comentario Car"/>
    <w:basedOn w:val="Fuentedeprrafopredeter"/>
    <w:link w:val="Textocomentario"/>
    <w:uiPriority w:val="99"/>
    <w:semiHidden w:val="1"/>
    <w:rsid w:val="009A5109"/>
    <w:rPr>
      <w:sz w:val="20"/>
      <w:szCs w:val="20"/>
    </w:rPr>
  </w:style>
  <w:style w:type="paragraph" w:styleId="Asuntodelcomentario">
    <w:name w:val="annotation subject"/>
    <w:basedOn w:val="Textocomentario"/>
    <w:next w:val="Textocomentario"/>
    <w:link w:val="AsuntodelcomentarioCar"/>
    <w:uiPriority w:val="99"/>
    <w:semiHidden w:val="1"/>
    <w:unhideWhenUsed w:val="1"/>
    <w:rsid w:val="009A5109"/>
    <w:rPr>
      <w:b w:val="1"/>
      <w:bCs w:val="1"/>
    </w:rPr>
  </w:style>
  <w:style w:type="character" w:styleId="AsuntodelcomentarioCar" w:customStyle="1">
    <w:name w:val="Asunto del comentario Car"/>
    <w:basedOn w:val="TextocomentarioCar"/>
    <w:link w:val="Asuntodelcomentario"/>
    <w:uiPriority w:val="99"/>
    <w:semiHidden w:val="1"/>
    <w:rsid w:val="009A5109"/>
    <w:rPr>
      <w:b w:val="1"/>
      <w:bCs w:val="1"/>
      <w:sz w:val="20"/>
      <w:szCs w:val="20"/>
    </w:rPr>
  </w:style>
  <w:style w:type="paragraph" w:styleId="Textodeglobo">
    <w:name w:val="Balloon Text"/>
    <w:basedOn w:val="Normal"/>
    <w:link w:val="TextodegloboCar"/>
    <w:uiPriority w:val="99"/>
    <w:semiHidden w:val="1"/>
    <w:unhideWhenUsed w:val="1"/>
    <w:rsid w:val="009A5109"/>
    <w:pPr>
      <w:spacing w:after="0" w:line="240" w:lineRule="auto"/>
    </w:pPr>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9A5109"/>
    <w:rPr>
      <w:rFonts w:ascii="Segoe UI" w:cs="Segoe UI" w:hAnsi="Segoe UI"/>
      <w:sz w:val="18"/>
      <w:szCs w:val="18"/>
    </w:rPr>
  </w:style>
  <w:style w:type="paragraph" w:styleId="NormalWeb">
    <w:name w:val="Normal (Web)"/>
    <w:basedOn w:val="Normal"/>
    <w:uiPriority w:val="99"/>
    <w:unhideWhenUsed w:val="1"/>
    <w:rsid w:val="00487C82"/>
    <w:pPr>
      <w:spacing w:after="100" w:afterAutospacing="1" w:before="100" w:beforeAutospacing="1" w:line="240" w:lineRule="auto"/>
    </w:pPr>
    <w:rPr>
      <w:rFonts w:ascii="Times New Roman" w:cs="Times New Roman" w:eastAsia="Times New Roman" w:hAnsi="Times New Roman"/>
      <w:sz w:val="24"/>
      <w:szCs w:val="24"/>
      <w:lang w:val="en-US"/>
    </w:rPr>
  </w:style>
  <w:style w:type="table" w:styleId="a" w:customStyle="1">
    <w:basedOn w:val="TableNormala"/>
    <w:pPr>
      <w:spacing w:after="0" w:line="240" w:lineRule="auto"/>
    </w:pPr>
    <w:tblPr>
      <w:tblStyleRowBandSize w:val="1"/>
      <w:tblStyleColBandSize w:val="1"/>
      <w:tblCellMar>
        <w:left w:w="108.0" w:type="dxa"/>
        <w:right w:w="108.0" w:type="dxa"/>
      </w:tblCellMar>
    </w:tblPr>
  </w:style>
  <w:style w:type="table" w:styleId="a0" w:customStyle="1">
    <w:basedOn w:val="TableNormala"/>
    <w:pPr>
      <w:spacing w:after="0" w:line="240" w:lineRule="auto"/>
    </w:pPr>
    <w:tblPr>
      <w:tblStyleRowBandSize w:val="1"/>
      <w:tblStyleColBandSize w:val="1"/>
      <w:tblCellMar>
        <w:left w:w="108.0" w:type="dxa"/>
        <w:right w:w="108.0" w:type="dxa"/>
      </w:tblCellMar>
    </w:tblPr>
  </w:style>
  <w:style w:type="character" w:styleId="Hipervnculo">
    <w:name w:val="Hyperlink"/>
    <w:basedOn w:val="Fuentedeprrafopredeter"/>
    <w:uiPriority w:val="99"/>
    <w:unhideWhenUsed w:val="1"/>
    <w:rsid w:val="009E7B44"/>
    <w:rPr>
      <w:color w:val="0563c1" w:themeColor="hyperlink"/>
      <w:u w:val="single"/>
    </w:rPr>
  </w:style>
  <w:style w:type="character" w:styleId="Mencinsinresolver1" w:customStyle="1">
    <w:name w:val="Mención sin resolver1"/>
    <w:basedOn w:val="Fuentedeprrafopredeter"/>
    <w:uiPriority w:val="99"/>
    <w:semiHidden w:val="1"/>
    <w:unhideWhenUsed w:val="1"/>
    <w:rsid w:val="009E7B44"/>
    <w:rPr>
      <w:color w:val="605e5c"/>
      <w:shd w:color="auto" w:fill="e1dfdd" w:val="clear"/>
    </w:rPr>
  </w:style>
  <w:style w:type="paragraph" w:styleId="Standard" w:customStyle="1">
    <w:name w:val="Standard"/>
    <w:rsid w:val="00830B17"/>
    <w:pPr>
      <w:suppressAutoHyphens w:val="1"/>
      <w:autoSpaceDN w:val="0"/>
      <w:spacing w:after="0" w:line="240" w:lineRule="auto"/>
      <w:textAlignment w:val="baseline"/>
    </w:pPr>
    <w:rPr>
      <w:rFonts w:cs="Linux Libertine G" w:eastAsia="Linux Libertine G"/>
      <w:sz w:val="20"/>
      <w:szCs w:val="20"/>
      <w:lang w:bidi="hi-IN" w:eastAsia="zh-CN"/>
    </w:rPr>
  </w:style>
  <w:style w:type="character" w:styleId="Hipervnculovisitado">
    <w:name w:val="FollowedHyperlink"/>
    <w:basedOn w:val="Fuentedeprrafopredeter"/>
    <w:uiPriority w:val="99"/>
    <w:semiHidden w:val="1"/>
    <w:unhideWhenUsed w:val="1"/>
    <w:rsid w:val="00D77164"/>
    <w:rPr>
      <w:color w:val="954f72" w:themeColor="followedHyperlink"/>
      <w:u w:val="single"/>
    </w:rPr>
  </w:style>
  <w:style w:type="paragraph" w:styleId="Prrafodelista">
    <w:name w:val="List Paragraph"/>
    <w:basedOn w:val="Normal"/>
    <w:link w:val="PrrafodelistaCar"/>
    <w:qFormat w:val="1"/>
    <w:rsid w:val="00923AC5"/>
    <w:pPr>
      <w:ind w:left="720"/>
      <w:contextualSpacing w:val="1"/>
    </w:pPr>
  </w:style>
  <w:style w:type="table" w:styleId="a1" w:customStyle="1">
    <w:basedOn w:val="TableNormala"/>
    <w:pPr>
      <w:spacing w:after="0" w:line="240" w:lineRule="auto"/>
    </w:pPr>
    <w:tblPr>
      <w:tblStyleRowBandSize w:val="1"/>
      <w:tblStyleColBandSize w:val="1"/>
      <w:tblCellMar>
        <w:left w:w="108.0" w:type="dxa"/>
        <w:right w:w="108.0" w:type="dxa"/>
      </w:tblCellMar>
    </w:tblPr>
  </w:style>
  <w:style w:type="table" w:styleId="a2" w:customStyle="1">
    <w:basedOn w:val="TableNormala"/>
    <w:pPr>
      <w:spacing w:after="0" w:line="240" w:lineRule="auto"/>
    </w:pPr>
    <w:tblPr>
      <w:tblStyleRowBandSize w:val="1"/>
      <w:tblStyleColBandSize w:val="1"/>
      <w:tblCellMar>
        <w:left w:w="108.0" w:type="dxa"/>
        <w:right w:w="108.0" w:type="dxa"/>
      </w:tblCellMar>
    </w:tblPr>
  </w:style>
  <w:style w:type="table" w:styleId="a3" w:customStyle="1">
    <w:basedOn w:val="TableNormal9"/>
    <w:pPr>
      <w:spacing w:after="0" w:line="240" w:lineRule="auto"/>
    </w:pPr>
    <w:tblPr>
      <w:tblStyleRowBandSize w:val="1"/>
      <w:tblStyleColBandSize w:val="1"/>
      <w:tblCellMar>
        <w:left w:w="108.0" w:type="dxa"/>
        <w:right w:w="108.0" w:type="dxa"/>
      </w:tblCellMar>
    </w:tblPr>
  </w:style>
  <w:style w:type="table" w:styleId="a4" w:customStyle="1">
    <w:basedOn w:val="TableNormal9"/>
    <w:pPr>
      <w:spacing w:after="0" w:line="240" w:lineRule="auto"/>
    </w:pPr>
    <w:tblPr>
      <w:tblStyleRowBandSize w:val="1"/>
      <w:tblStyleColBandSize w:val="1"/>
      <w:tblCellMar>
        <w:left w:w="108.0" w:type="dxa"/>
        <w:right w:w="108.0" w:type="dxa"/>
      </w:tblCellMar>
    </w:tblPr>
  </w:style>
  <w:style w:type="character" w:styleId="Mencinsinresolver2" w:customStyle="1">
    <w:name w:val="Mención sin resolver2"/>
    <w:basedOn w:val="Fuentedeprrafopredeter"/>
    <w:uiPriority w:val="99"/>
    <w:semiHidden w:val="1"/>
    <w:unhideWhenUsed w:val="1"/>
    <w:rsid w:val="000C5E1B"/>
    <w:rPr>
      <w:color w:val="605e5c"/>
      <w:shd w:color="auto" w:fill="e1dfdd" w:val="clear"/>
    </w:rPr>
  </w:style>
  <w:style w:type="character" w:styleId="Mencinsinresolver3" w:customStyle="1">
    <w:name w:val="Mención sin resolver3"/>
    <w:basedOn w:val="Fuentedeprrafopredeter"/>
    <w:uiPriority w:val="99"/>
    <w:semiHidden w:val="1"/>
    <w:unhideWhenUsed w:val="1"/>
    <w:rsid w:val="001F2DBA"/>
    <w:rPr>
      <w:color w:val="605e5c"/>
      <w:shd w:color="auto" w:fill="e1dfdd" w:val="clear"/>
    </w:rPr>
  </w:style>
  <w:style w:type="table" w:styleId="a5" w:customStyle="1">
    <w:basedOn w:val="TableNormal8"/>
    <w:pPr>
      <w:spacing w:after="0" w:line="240" w:lineRule="auto"/>
    </w:pPr>
    <w:tblPr>
      <w:tblStyleRowBandSize w:val="1"/>
      <w:tblStyleColBandSize w:val="1"/>
      <w:tblCellMar>
        <w:left w:w="108.0" w:type="dxa"/>
        <w:right w:w="108.0" w:type="dxa"/>
      </w:tblCellMar>
    </w:tblPr>
  </w:style>
  <w:style w:type="table" w:styleId="a6" w:customStyle="1">
    <w:basedOn w:val="TableNormal8"/>
    <w:pPr>
      <w:spacing w:after="0" w:line="240" w:lineRule="auto"/>
    </w:pPr>
    <w:tblPr>
      <w:tblStyleRowBandSize w:val="1"/>
      <w:tblStyleColBandSize w:val="1"/>
      <w:tblCellMar>
        <w:left w:w="108.0" w:type="dxa"/>
        <w:right w:w="108.0" w:type="dxa"/>
      </w:tblCellMar>
    </w:tblPr>
  </w:style>
  <w:style w:type="table" w:styleId="a7" w:customStyle="1">
    <w:basedOn w:val="TableNormal7"/>
    <w:pPr>
      <w:spacing w:after="0" w:line="240" w:lineRule="auto"/>
    </w:pPr>
    <w:tblPr>
      <w:tblStyleRowBandSize w:val="1"/>
      <w:tblStyleColBandSize w:val="1"/>
      <w:tblCellMar>
        <w:left w:w="108.0" w:type="dxa"/>
        <w:right w:w="108.0" w:type="dxa"/>
      </w:tblCellMar>
    </w:tblPr>
  </w:style>
  <w:style w:type="table" w:styleId="a8" w:customStyle="1">
    <w:basedOn w:val="TableNormal7"/>
    <w:pPr>
      <w:spacing w:after="0" w:line="240" w:lineRule="auto"/>
    </w:pPr>
    <w:tblPr>
      <w:tblStyleRowBandSize w:val="1"/>
      <w:tblStyleColBandSize w:val="1"/>
      <w:tblCellMar>
        <w:left w:w="108.0" w:type="dxa"/>
        <w:right w:w="108.0" w:type="dxa"/>
      </w:tblCellMar>
    </w:tblPr>
  </w:style>
  <w:style w:type="table" w:styleId="a9" w:customStyle="1">
    <w:basedOn w:val="TableNormal6"/>
    <w:pPr>
      <w:spacing w:after="0" w:line="240" w:lineRule="auto"/>
    </w:pPr>
    <w:tblPr>
      <w:tblStyleRowBandSize w:val="1"/>
      <w:tblStyleColBandSize w:val="1"/>
      <w:tblCellMar>
        <w:left w:w="108.0" w:type="dxa"/>
        <w:right w:w="108.0" w:type="dxa"/>
      </w:tblCellMar>
    </w:tblPr>
  </w:style>
  <w:style w:type="table" w:styleId="aa" w:customStyle="1">
    <w:basedOn w:val="TableNormal6"/>
    <w:pPr>
      <w:spacing w:after="0" w:line="240" w:lineRule="auto"/>
    </w:pPr>
    <w:tblPr>
      <w:tblStyleRowBandSize w:val="1"/>
      <w:tblStyleColBandSize w:val="1"/>
      <w:tblCellMar>
        <w:left w:w="108.0" w:type="dxa"/>
        <w:right w:w="108.0" w:type="dxa"/>
      </w:tblCellMar>
    </w:tblPr>
  </w:style>
  <w:style w:type="table" w:styleId="ab" w:customStyle="1">
    <w:basedOn w:val="TableNormal5"/>
    <w:pPr>
      <w:spacing w:after="0" w:line="240" w:lineRule="auto"/>
    </w:pPr>
    <w:tblPr>
      <w:tblStyleRowBandSize w:val="1"/>
      <w:tblStyleColBandSize w:val="1"/>
      <w:tblCellMar>
        <w:left w:w="108.0" w:type="dxa"/>
        <w:right w:w="108.0" w:type="dxa"/>
      </w:tblCellMar>
    </w:tblPr>
  </w:style>
  <w:style w:type="table" w:styleId="ac" w:customStyle="1">
    <w:basedOn w:val="TableNormal5"/>
    <w:pPr>
      <w:spacing w:after="0" w:line="240" w:lineRule="auto"/>
    </w:pPr>
    <w:tblPr>
      <w:tblStyleRowBandSize w:val="1"/>
      <w:tblStyleColBandSize w:val="1"/>
      <w:tblCellMar>
        <w:left w:w="108.0" w:type="dxa"/>
        <w:right w:w="108.0" w:type="dxa"/>
      </w:tblCellMar>
    </w:tblPr>
  </w:style>
  <w:style w:type="character" w:styleId="Mencinsinresolver4" w:customStyle="1">
    <w:name w:val="Mención sin resolver4"/>
    <w:basedOn w:val="Fuentedeprrafopredeter"/>
    <w:uiPriority w:val="99"/>
    <w:semiHidden w:val="1"/>
    <w:unhideWhenUsed w:val="1"/>
    <w:rsid w:val="004E322C"/>
    <w:rPr>
      <w:color w:val="605e5c"/>
      <w:shd w:color="auto" w:fill="e1dfdd" w:val="clear"/>
    </w:rPr>
  </w:style>
  <w:style w:type="table" w:styleId="ad" w:customStyle="1">
    <w:basedOn w:val="TableNormal4"/>
    <w:pPr>
      <w:spacing w:after="0" w:line="240" w:lineRule="auto"/>
    </w:pPr>
    <w:tblPr>
      <w:tblStyleRowBandSize w:val="1"/>
      <w:tblStyleColBandSize w:val="1"/>
      <w:tblCellMar>
        <w:left w:w="108.0" w:type="dxa"/>
        <w:right w:w="108.0" w:type="dxa"/>
      </w:tblCellMar>
    </w:tblPr>
  </w:style>
  <w:style w:type="table" w:styleId="ae" w:customStyle="1">
    <w:basedOn w:val="TableNormal4"/>
    <w:pPr>
      <w:spacing w:after="0" w:line="240" w:lineRule="auto"/>
    </w:pPr>
    <w:tblPr>
      <w:tblStyleRowBandSize w:val="1"/>
      <w:tblStyleColBandSize w:val="1"/>
      <w:tblCellMar>
        <w:left w:w="108.0" w:type="dxa"/>
        <w:right w:w="108.0" w:type="dxa"/>
      </w:tblCellMar>
    </w:tblPr>
  </w:style>
  <w:style w:type="table" w:styleId="af" w:customStyle="1">
    <w:basedOn w:val="TableNormal3"/>
    <w:pPr>
      <w:spacing w:after="0" w:line="240" w:lineRule="auto"/>
    </w:pPr>
    <w:tblPr>
      <w:tblStyleRowBandSize w:val="1"/>
      <w:tblStyleColBandSize w:val="1"/>
      <w:tblCellMar>
        <w:left w:w="108.0" w:type="dxa"/>
        <w:right w:w="108.0" w:type="dxa"/>
      </w:tblCellMar>
    </w:tblPr>
  </w:style>
  <w:style w:type="table" w:styleId="af0" w:customStyle="1">
    <w:basedOn w:val="TableNormal3"/>
    <w:pPr>
      <w:spacing w:after="0" w:line="240" w:lineRule="auto"/>
    </w:pPr>
    <w:tblPr>
      <w:tblStyleRowBandSize w:val="1"/>
      <w:tblStyleColBandSize w:val="1"/>
      <w:tblCellMar>
        <w:left w:w="108.0" w:type="dxa"/>
        <w:right w:w="108.0" w:type="dxa"/>
      </w:tblCellMar>
    </w:tblPr>
  </w:style>
  <w:style w:type="paragraph" w:styleId="Listaconvietas">
    <w:name w:val="List Bullet"/>
    <w:basedOn w:val="Normal"/>
    <w:uiPriority w:val="99"/>
    <w:unhideWhenUsed w:val="1"/>
    <w:rsid w:val="00316EF5"/>
    <w:pPr>
      <w:numPr>
        <w:numId w:val="1"/>
      </w:numPr>
      <w:suppressAutoHyphens w:val="1"/>
      <w:spacing w:after="0" w:line="240" w:lineRule="auto"/>
      <w:contextualSpacing w:val="1"/>
    </w:pPr>
    <w:rPr>
      <w:rFonts w:ascii="Times New Roman" w:cs="Times New Roman" w:eastAsia="Times New Roman" w:hAnsi="Times New Roman"/>
      <w:sz w:val="20"/>
      <w:szCs w:val="20"/>
      <w:lang w:val="es-ES"/>
    </w:rPr>
  </w:style>
  <w:style w:type="character" w:styleId="Mencinsinresolver">
    <w:name w:val="Unresolved Mention"/>
    <w:basedOn w:val="Fuentedeprrafopredeter"/>
    <w:uiPriority w:val="99"/>
    <w:semiHidden w:val="1"/>
    <w:unhideWhenUsed w:val="1"/>
    <w:rsid w:val="00316EF5"/>
    <w:rPr>
      <w:color w:val="605e5c"/>
      <w:shd w:color="auto" w:fill="e1dfdd" w:val="clear"/>
    </w:rPr>
  </w:style>
  <w:style w:type="character" w:styleId="PrrafodelistaCar" w:customStyle="1">
    <w:name w:val="Párrafo de lista Car"/>
    <w:basedOn w:val="Fuentedeprrafopredeter"/>
    <w:link w:val="Prrafodelista"/>
    <w:rsid w:val="00023624"/>
  </w:style>
  <w:style w:type="paragraph" w:styleId="Encabezado">
    <w:name w:val="header"/>
    <w:basedOn w:val="Normal"/>
    <w:link w:val="EncabezadoCar"/>
    <w:uiPriority w:val="99"/>
    <w:unhideWhenUsed w:val="1"/>
    <w:rsid w:val="00023624"/>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023624"/>
  </w:style>
  <w:style w:type="paragraph" w:styleId="Piedepgina">
    <w:name w:val="footer"/>
    <w:basedOn w:val="Normal"/>
    <w:link w:val="PiedepginaCar"/>
    <w:uiPriority w:val="99"/>
    <w:unhideWhenUsed w:val="1"/>
    <w:rsid w:val="00023624"/>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023624"/>
  </w:style>
  <w:style w:type="table" w:styleId="af1" w:customStyle="1">
    <w:basedOn w:val="TableNormal2"/>
    <w:pPr>
      <w:spacing w:after="0" w:line="240" w:lineRule="auto"/>
    </w:pPr>
    <w:tblPr>
      <w:tblStyleRowBandSize w:val="1"/>
      <w:tblStyleColBandSize w:val="1"/>
      <w:tblCellMar>
        <w:left w:w="108.0" w:type="dxa"/>
        <w:right w:w="108.0" w:type="dxa"/>
      </w:tblCellMar>
    </w:tblPr>
  </w:style>
  <w:style w:type="table" w:styleId="af2" w:customStyle="1">
    <w:basedOn w:val="TableNormal2"/>
    <w:pPr>
      <w:spacing w:after="0" w:line="240" w:lineRule="auto"/>
    </w:pPr>
    <w:tblPr>
      <w:tblStyleRowBandSize w:val="1"/>
      <w:tblStyleColBandSize w:val="1"/>
      <w:tblCellMar>
        <w:left w:w="108.0" w:type="dxa"/>
        <w:right w:w="108.0" w:type="dxa"/>
      </w:tblCellMar>
    </w:tblPr>
  </w:style>
  <w:style w:type="table" w:styleId="af3" w:customStyle="1">
    <w:basedOn w:val="TableNormal2"/>
    <w:pPr>
      <w:spacing w:after="0" w:line="240" w:lineRule="auto"/>
    </w:pPr>
    <w:tblPr>
      <w:tblStyleRowBandSize w:val="1"/>
      <w:tblStyleColBandSize w:val="1"/>
      <w:tblCellMar>
        <w:left w:w="108.0" w:type="dxa"/>
        <w:right w:w="108.0" w:type="dxa"/>
      </w:tblCellMar>
    </w:tblPr>
  </w:style>
  <w:style w:type="table" w:styleId="af4" w:customStyle="1">
    <w:basedOn w:val="TableNormal2"/>
    <w:pPr>
      <w:spacing w:after="0" w:line="240" w:lineRule="auto"/>
    </w:pPr>
    <w:tblPr>
      <w:tblStyleRowBandSize w:val="1"/>
      <w:tblStyleColBandSize w:val="1"/>
      <w:tblCellMar>
        <w:left w:w="108.0" w:type="dxa"/>
        <w:right w:w="108.0" w:type="dxa"/>
      </w:tblCellMar>
    </w:tblPr>
  </w:style>
  <w:style w:type="table" w:styleId="af5" w:customStyle="1">
    <w:basedOn w:val="TableNormal2"/>
    <w:pPr>
      <w:spacing w:after="0" w:line="240" w:lineRule="auto"/>
    </w:pPr>
    <w:tblPr>
      <w:tblStyleRowBandSize w:val="1"/>
      <w:tblStyleColBandSize w:val="1"/>
      <w:tblCellMar>
        <w:left w:w="108.0" w:type="dxa"/>
        <w:right w:w="108.0" w:type="dxa"/>
      </w:tblCellMar>
    </w:tblPr>
  </w:style>
  <w:style w:type="table" w:styleId="af6" w:customStyle="1">
    <w:basedOn w:val="TableNormal2"/>
    <w:pPr>
      <w:spacing w:after="0" w:line="240" w:lineRule="auto"/>
    </w:pPr>
    <w:tblPr>
      <w:tblStyleRowBandSize w:val="1"/>
      <w:tblStyleColBandSize w:val="1"/>
      <w:tblCellMar>
        <w:left w:w="108.0" w:type="dxa"/>
        <w:right w:w="108.0" w:type="dxa"/>
      </w:tblCellMar>
    </w:tbl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3.png"/><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I6Mc8MG6x2aArqEnTba0V7UStw==">CgMxLjAyCWguMzBqMHpsbDIOaC5rNnZ1eG9hbTJ4eWMyDmgua2ZjbXprYTN2dHY4Mg5oLnpiZmV4a2R5enFhODIOaC53OWh3NHprZ2w5Y2syDmguOXNzdDJoNjA3dHFjMghoLmdqZGd4czIJaC4xZm9iOXRlMgloLjNkeTZ2a204AHIhMVhXRk04YnByd1MwMElYdTBuenAtRnI1YmVHaEZJZC1t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2026-02-13T17:40:00Z</dcterms:created>
  <dc:creator>Núñez Artunduaga, Mónica Amelia</dc:creator>
</cp:coreProperties>
</file>